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82378F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131FC2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82378F">
        <w:rPr>
          <w:rFonts w:ascii="Sylfaen" w:hAnsi="Sylfaen" w:cs="Sylfaen"/>
          <w:b/>
          <w:sz w:val="28"/>
          <w:szCs w:val="28"/>
        </w:rPr>
        <w:t>04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440C07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E7543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6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522570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522570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მუნიციპალური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წყალმომარაგების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ქსელის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მოვლა</w:t>
      </w:r>
      <w:r w:rsidR="00522570" w:rsidRPr="00522570">
        <w:rPr>
          <w:b/>
          <w:sz w:val="24"/>
          <w:szCs w:val="24"/>
        </w:rPr>
        <w:t>-</w:t>
      </w:r>
      <w:r w:rsidR="00522570" w:rsidRPr="00522570">
        <w:rPr>
          <w:rFonts w:ascii="Sylfaen" w:hAnsi="Sylfaen"/>
          <w:b/>
          <w:sz w:val="24"/>
          <w:szCs w:val="24"/>
        </w:rPr>
        <w:t>შენახვის</w:t>
      </w:r>
      <w:proofErr w:type="spellEnd"/>
      <w:r w:rsidR="0052257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440C07">
        <w:rPr>
          <w:rFonts w:ascii="Sylfaen" w:hAnsi="Sylfaen"/>
          <w:b/>
          <w:sz w:val="24"/>
          <w:szCs w:val="24"/>
          <w:lang w:val="ka-GE"/>
        </w:rPr>
        <w:t>21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B62A4C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="00241ED0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proofErr w:type="spellStart"/>
      <w:r w:rsidR="00522570" w:rsidRPr="00522570">
        <w:rPr>
          <w:rFonts w:ascii="Sylfaen" w:hAnsi="Sylfaen"/>
          <w:sz w:val="22"/>
          <w:szCs w:val="22"/>
        </w:rPr>
        <w:t>მუნიციპალური</w:t>
      </w:r>
      <w:proofErr w:type="spellEnd"/>
      <w:r w:rsidR="00522570" w:rsidRP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 w:rsidRPr="00522570">
        <w:rPr>
          <w:rFonts w:ascii="Sylfaen" w:hAnsi="Sylfaen"/>
          <w:sz w:val="22"/>
          <w:szCs w:val="22"/>
        </w:rPr>
        <w:t>წყალმომარაგების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ქსელის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მოვლა-შენახვის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E04EEB">
        <w:rPr>
          <w:rFonts w:ascii="Sylfaen" w:hAnsi="Sylfaen"/>
          <w:sz w:val="22"/>
          <w:szCs w:val="22"/>
        </w:rPr>
        <w:t xml:space="preserve"> 20</w:t>
      </w:r>
      <w:r w:rsidR="00440C07">
        <w:rPr>
          <w:rFonts w:ascii="Sylfaen" w:hAnsi="Sylfaen"/>
          <w:sz w:val="22"/>
          <w:szCs w:val="22"/>
          <w:lang w:val="ka-GE"/>
        </w:rPr>
        <w:t>21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84A68">
        <w:rPr>
          <w:rFonts w:ascii="Sylfaen" w:hAnsi="Sylfaen"/>
          <w:sz w:val="22"/>
          <w:szCs w:val="22"/>
          <w:lang w:val="ka-GE"/>
        </w:rPr>
        <w:t>წელ</w:t>
      </w:r>
      <w:r w:rsidR="00B62A4C">
        <w:rPr>
          <w:rFonts w:ascii="Sylfaen" w:hAnsi="Sylfaen"/>
          <w:sz w:val="22"/>
          <w:szCs w:val="22"/>
          <w:lang w:val="ka-GE"/>
        </w:rPr>
        <w:t>ს</w:t>
      </w:r>
      <w:r w:rsidR="00B64B4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970E2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D07EF3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84A68">
        <w:rPr>
          <w:rFonts w:ascii="Sylfaen" w:hAnsi="Sylfaen"/>
          <w:sz w:val="22"/>
          <w:szCs w:val="22"/>
        </w:rPr>
        <w:t>უჩა</w:t>
      </w:r>
      <w:proofErr w:type="spellEnd"/>
      <w:r w:rsidR="00984A68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A1" w:rsidRDefault="00A122A1" w:rsidP="004F1DD7">
      <w:r>
        <w:separator/>
      </w:r>
    </w:p>
  </w:endnote>
  <w:endnote w:type="continuationSeparator" w:id="0">
    <w:p w:rsidR="00A122A1" w:rsidRDefault="00A122A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A1" w:rsidRDefault="00A122A1" w:rsidP="004F1DD7">
      <w:r>
        <w:separator/>
      </w:r>
    </w:p>
  </w:footnote>
  <w:footnote w:type="continuationSeparator" w:id="0">
    <w:p w:rsidR="00A122A1" w:rsidRDefault="00A122A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B78BF"/>
    <w:rsid w:val="000C4571"/>
    <w:rsid w:val="000D6ECF"/>
    <w:rsid w:val="000E3B50"/>
    <w:rsid w:val="000F49CA"/>
    <w:rsid w:val="000F58A3"/>
    <w:rsid w:val="00124F27"/>
    <w:rsid w:val="00131FC2"/>
    <w:rsid w:val="0013774F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1ED0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C4182"/>
    <w:rsid w:val="003C4A8C"/>
    <w:rsid w:val="003E63F3"/>
    <w:rsid w:val="004241B9"/>
    <w:rsid w:val="00440C07"/>
    <w:rsid w:val="00440F3E"/>
    <w:rsid w:val="00450AAD"/>
    <w:rsid w:val="00457FA5"/>
    <w:rsid w:val="00471E5E"/>
    <w:rsid w:val="00491FA6"/>
    <w:rsid w:val="004F1BFD"/>
    <w:rsid w:val="004F1DD7"/>
    <w:rsid w:val="004F2FB3"/>
    <w:rsid w:val="00522570"/>
    <w:rsid w:val="005247D4"/>
    <w:rsid w:val="00564DD0"/>
    <w:rsid w:val="005A0DFE"/>
    <w:rsid w:val="005D5374"/>
    <w:rsid w:val="005F4ACC"/>
    <w:rsid w:val="005F7ED5"/>
    <w:rsid w:val="0065278B"/>
    <w:rsid w:val="006E0B5C"/>
    <w:rsid w:val="00704921"/>
    <w:rsid w:val="00715BAF"/>
    <w:rsid w:val="00721D8C"/>
    <w:rsid w:val="0077546A"/>
    <w:rsid w:val="00783547"/>
    <w:rsid w:val="007967C9"/>
    <w:rsid w:val="007B2D10"/>
    <w:rsid w:val="007D14AA"/>
    <w:rsid w:val="007D7A63"/>
    <w:rsid w:val="007E34D9"/>
    <w:rsid w:val="007F0821"/>
    <w:rsid w:val="007F77C6"/>
    <w:rsid w:val="0082378F"/>
    <w:rsid w:val="00826D5B"/>
    <w:rsid w:val="00837DA7"/>
    <w:rsid w:val="00844142"/>
    <w:rsid w:val="00846558"/>
    <w:rsid w:val="00866688"/>
    <w:rsid w:val="00882153"/>
    <w:rsid w:val="008C51B9"/>
    <w:rsid w:val="0091717A"/>
    <w:rsid w:val="009330F2"/>
    <w:rsid w:val="00953594"/>
    <w:rsid w:val="00970D4A"/>
    <w:rsid w:val="00970E23"/>
    <w:rsid w:val="00973263"/>
    <w:rsid w:val="009734A1"/>
    <w:rsid w:val="00984A68"/>
    <w:rsid w:val="0098582F"/>
    <w:rsid w:val="009862E2"/>
    <w:rsid w:val="009B31E7"/>
    <w:rsid w:val="009D26BF"/>
    <w:rsid w:val="009D3C43"/>
    <w:rsid w:val="009E4086"/>
    <w:rsid w:val="00A122A1"/>
    <w:rsid w:val="00A42998"/>
    <w:rsid w:val="00A51AF6"/>
    <w:rsid w:val="00A812D9"/>
    <w:rsid w:val="00A81BF1"/>
    <w:rsid w:val="00A83823"/>
    <w:rsid w:val="00AA22F9"/>
    <w:rsid w:val="00B03084"/>
    <w:rsid w:val="00B1260B"/>
    <w:rsid w:val="00B1305C"/>
    <w:rsid w:val="00B37BD2"/>
    <w:rsid w:val="00B62A4C"/>
    <w:rsid w:val="00B64B4D"/>
    <w:rsid w:val="00BA02D0"/>
    <w:rsid w:val="00BA4803"/>
    <w:rsid w:val="00BE5063"/>
    <w:rsid w:val="00BE7543"/>
    <w:rsid w:val="00BF624C"/>
    <w:rsid w:val="00C0558D"/>
    <w:rsid w:val="00C233D7"/>
    <w:rsid w:val="00C416DF"/>
    <w:rsid w:val="00D07EF3"/>
    <w:rsid w:val="00D13F64"/>
    <w:rsid w:val="00D43E80"/>
    <w:rsid w:val="00D9283E"/>
    <w:rsid w:val="00DF4D02"/>
    <w:rsid w:val="00DF79FA"/>
    <w:rsid w:val="00E03DB5"/>
    <w:rsid w:val="00E04EEB"/>
    <w:rsid w:val="00E2049F"/>
    <w:rsid w:val="00E25F77"/>
    <w:rsid w:val="00E310F7"/>
    <w:rsid w:val="00E518EA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28</cp:revision>
  <cp:lastPrinted>2014-04-10T07:49:00Z</cp:lastPrinted>
  <dcterms:created xsi:type="dcterms:W3CDTF">2018-07-30T07:33:00Z</dcterms:created>
  <dcterms:modified xsi:type="dcterms:W3CDTF">2022-01-26T06:41:00Z</dcterms:modified>
</cp:coreProperties>
</file>